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DF" w:rsidRPr="00D17406" w:rsidRDefault="004617D1" w:rsidP="00C367C6">
      <w:pPr>
        <w:jc w:val="center"/>
        <w:rPr>
          <w:rFonts w:cs="Arial"/>
          <w:b/>
          <w:sz w:val="28"/>
          <w:szCs w:val="28"/>
        </w:rPr>
      </w:pPr>
      <w:r w:rsidRPr="00D17406">
        <w:rPr>
          <w:rFonts w:cs="Arial"/>
          <w:b/>
          <w:sz w:val="28"/>
          <w:szCs w:val="28"/>
        </w:rPr>
        <w:t xml:space="preserve">Covid-19 Primary Care Premises Improvement Grant </w:t>
      </w:r>
      <w:r w:rsidR="00C367C6" w:rsidRPr="00D17406">
        <w:rPr>
          <w:rFonts w:cs="Arial"/>
          <w:b/>
          <w:sz w:val="28"/>
          <w:szCs w:val="28"/>
        </w:rPr>
        <w:t xml:space="preserve">Eligibility Criteria </w:t>
      </w:r>
    </w:p>
    <w:p w:rsidR="004617D1" w:rsidRPr="00D17406" w:rsidRDefault="004617D1" w:rsidP="00C367C6">
      <w:pPr>
        <w:jc w:val="center"/>
        <w:rPr>
          <w:rFonts w:cs="Arial"/>
          <w:b/>
          <w:sz w:val="28"/>
          <w:szCs w:val="28"/>
        </w:rPr>
      </w:pPr>
      <w:r w:rsidRPr="00D17406">
        <w:rPr>
          <w:rFonts w:cs="Arial"/>
          <w:b/>
          <w:sz w:val="28"/>
          <w:szCs w:val="28"/>
        </w:rPr>
        <w:t>Accommodation Works to Incorporate Alterations as a result of</w:t>
      </w:r>
      <w:r w:rsidR="00182FDF" w:rsidRPr="00D17406">
        <w:rPr>
          <w:rFonts w:cs="Arial"/>
          <w:b/>
          <w:sz w:val="28"/>
          <w:szCs w:val="28"/>
        </w:rPr>
        <w:t xml:space="preserve"> Risk Assessments and Best Practice when </w:t>
      </w:r>
      <w:r w:rsidR="004F38FB" w:rsidRPr="00D17406">
        <w:rPr>
          <w:rFonts w:cs="Arial"/>
          <w:b/>
          <w:sz w:val="28"/>
          <w:szCs w:val="28"/>
        </w:rPr>
        <w:t xml:space="preserve">moving towards ‘business as usual’ within </w:t>
      </w:r>
      <w:r w:rsidRPr="00D17406">
        <w:rPr>
          <w:rFonts w:cs="Arial"/>
          <w:b/>
          <w:sz w:val="28"/>
          <w:szCs w:val="28"/>
        </w:rPr>
        <w:t xml:space="preserve">the Practice Premises </w:t>
      </w:r>
    </w:p>
    <w:p w:rsidR="00C367C6" w:rsidRPr="00D17406" w:rsidRDefault="004617D1" w:rsidP="00C367C6">
      <w:pPr>
        <w:jc w:val="center"/>
        <w:rPr>
          <w:rFonts w:cs="Arial"/>
          <w:b/>
          <w:sz w:val="28"/>
          <w:szCs w:val="28"/>
        </w:rPr>
      </w:pPr>
      <w:r w:rsidRPr="00D17406">
        <w:rPr>
          <w:rFonts w:cs="Arial"/>
          <w:b/>
          <w:sz w:val="28"/>
          <w:szCs w:val="28"/>
        </w:rPr>
        <w:t xml:space="preserve">Based </w:t>
      </w:r>
      <w:r w:rsidR="00C367C6" w:rsidRPr="00D17406">
        <w:rPr>
          <w:rFonts w:cs="Arial"/>
          <w:b/>
          <w:sz w:val="28"/>
          <w:szCs w:val="28"/>
        </w:rPr>
        <w:t xml:space="preserve">on </w:t>
      </w:r>
      <w:r w:rsidRPr="00D17406">
        <w:rPr>
          <w:rFonts w:cs="Arial"/>
          <w:b/>
          <w:sz w:val="28"/>
          <w:szCs w:val="28"/>
        </w:rPr>
        <w:t xml:space="preserve">the provisions of the </w:t>
      </w:r>
      <w:r w:rsidR="00C367C6" w:rsidRPr="00D17406">
        <w:rPr>
          <w:rFonts w:cs="Arial"/>
          <w:b/>
          <w:sz w:val="28"/>
          <w:szCs w:val="28"/>
        </w:rPr>
        <w:t>Premises Directions 2013</w:t>
      </w:r>
    </w:p>
    <w:p w:rsidR="00C367C6" w:rsidRDefault="00C367C6" w:rsidP="006F19B6">
      <w:pPr>
        <w:rPr>
          <w:rFonts w:cs="Arial"/>
          <w:b/>
          <w:szCs w:val="24"/>
        </w:rPr>
      </w:pPr>
    </w:p>
    <w:p w:rsidR="00B64741" w:rsidRDefault="00C367C6" w:rsidP="006F19B6">
      <w:pPr>
        <w:rPr>
          <w:rFonts w:cs="Arial"/>
          <w:szCs w:val="24"/>
        </w:rPr>
      </w:pPr>
      <w:r w:rsidRPr="00C367C6">
        <w:rPr>
          <w:rFonts w:cs="Arial"/>
          <w:szCs w:val="24"/>
        </w:rPr>
        <w:t xml:space="preserve">The </w:t>
      </w:r>
      <w:r w:rsidR="00B64741">
        <w:rPr>
          <w:rFonts w:cs="Arial"/>
          <w:szCs w:val="24"/>
        </w:rPr>
        <w:t>Greater Manchester Health &amp; Social Care Partnership</w:t>
      </w:r>
      <w:r w:rsidRPr="00C367C6">
        <w:rPr>
          <w:rFonts w:cs="Arial"/>
          <w:szCs w:val="24"/>
        </w:rPr>
        <w:t xml:space="preserve"> </w:t>
      </w:r>
      <w:r w:rsidR="00B64741">
        <w:rPr>
          <w:rFonts w:cs="Arial"/>
          <w:szCs w:val="24"/>
        </w:rPr>
        <w:t xml:space="preserve">(GMHSCP) </w:t>
      </w:r>
      <w:r w:rsidRPr="00C367C6">
        <w:rPr>
          <w:rFonts w:cs="Arial"/>
          <w:szCs w:val="24"/>
        </w:rPr>
        <w:t xml:space="preserve">has </w:t>
      </w:r>
      <w:r w:rsidR="00B64741">
        <w:rPr>
          <w:rFonts w:cs="Arial"/>
          <w:szCs w:val="24"/>
        </w:rPr>
        <w:t>agreed that</w:t>
      </w:r>
      <w:r w:rsidRPr="00C367C6">
        <w:rPr>
          <w:rFonts w:cs="Arial"/>
          <w:szCs w:val="24"/>
        </w:rPr>
        <w:t xml:space="preserve"> Primary Care Contactors</w:t>
      </w:r>
      <w:r w:rsidR="00B64741">
        <w:rPr>
          <w:rFonts w:cs="Arial"/>
          <w:szCs w:val="24"/>
        </w:rPr>
        <w:t xml:space="preserve"> can submit a simple form project initiation document</w:t>
      </w:r>
      <w:r w:rsidR="00F93CFC">
        <w:rPr>
          <w:rFonts w:cs="Arial"/>
          <w:szCs w:val="24"/>
        </w:rPr>
        <w:t xml:space="preserve"> (S</w:t>
      </w:r>
      <w:r w:rsidR="00B64741">
        <w:rPr>
          <w:rFonts w:cs="Arial"/>
          <w:szCs w:val="24"/>
        </w:rPr>
        <w:t>imilar to those used when bidding for slippage bids</w:t>
      </w:r>
      <w:r w:rsidR="00F93CFC">
        <w:rPr>
          <w:rFonts w:cs="Arial"/>
          <w:szCs w:val="24"/>
        </w:rPr>
        <w:t>)</w:t>
      </w:r>
      <w:r w:rsidR="00B64741">
        <w:rPr>
          <w:rFonts w:cs="Arial"/>
          <w:szCs w:val="24"/>
        </w:rPr>
        <w:t xml:space="preserve">, to the </w:t>
      </w:r>
      <w:r w:rsidR="00F93CFC">
        <w:rPr>
          <w:rFonts w:cs="Arial"/>
          <w:szCs w:val="24"/>
        </w:rPr>
        <w:t xml:space="preserve">CCG who will forward the PID bid on to the </w:t>
      </w:r>
      <w:r w:rsidR="00B64741">
        <w:rPr>
          <w:rFonts w:cs="Arial"/>
          <w:szCs w:val="24"/>
        </w:rPr>
        <w:t>GMHSCP for consideration</w:t>
      </w:r>
      <w:r w:rsidR="00F93CFC">
        <w:rPr>
          <w:rFonts w:cs="Arial"/>
          <w:szCs w:val="24"/>
        </w:rPr>
        <w:t xml:space="preserve"> and approval</w:t>
      </w:r>
      <w:r w:rsidR="00B64741">
        <w:rPr>
          <w:rFonts w:cs="Arial"/>
          <w:szCs w:val="24"/>
        </w:rPr>
        <w:t>,</w:t>
      </w:r>
      <w:r w:rsidR="00F93CFC">
        <w:rPr>
          <w:rFonts w:cs="Arial"/>
          <w:szCs w:val="24"/>
        </w:rPr>
        <w:t xml:space="preserve"> applying for</w:t>
      </w:r>
      <w:r w:rsidR="00B64741">
        <w:rPr>
          <w:rFonts w:cs="Arial"/>
          <w:szCs w:val="24"/>
        </w:rPr>
        <w:t xml:space="preserve"> grant funding to cover the cost of improvement and alteration works ensuring the COVID-19 risks to staff and patients are mitigated when attending the practice premises.</w:t>
      </w:r>
    </w:p>
    <w:p w:rsidR="00B64741" w:rsidRDefault="00B64741" w:rsidP="006F19B6">
      <w:pPr>
        <w:rPr>
          <w:rFonts w:cs="Arial"/>
          <w:szCs w:val="24"/>
        </w:rPr>
      </w:pPr>
    </w:p>
    <w:p w:rsidR="004F38FB" w:rsidRDefault="00F93CFC" w:rsidP="004C7586">
      <w:pPr>
        <w:rPr>
          <w:rFonts w:cs="Arial"/>
          <w:szCs w:val="24"/>
        </w:rPr>
      </w:pPr>
      <w:r>
        <w:rPr>
          <w:rFonts w:cs="Arial"/>
          <w:szCs w:val="24"/>
        </w:rPr>
        <w:t xml:space="preserve">The proposed works will need to be eligible for </w:t>
      </w:r>
      <w:r w:rsidR="006F19B6" w:rsidRPr="0046155E">
        <w:rPr>
          <w:rFonts w:cs="Arial"/>
          <w:szCs w:val="24"/>
        </w:rPr>
        <w:t xml:space="preserve">grant </w:t>
      </w:r>
      <w:r>
        <w:rPr>
          <w:rFonts w:cs="Arial"/>
          <w:szCs w:val="24"/>
        </w:rPr>
        <w:t xml:space="preserve">funding and it is the intention of GMHSCP to award a grant for the COVID-19 </w:t>
      </w:r>
      <w:r w:rsidR="004F38FB">
        <w:rPr>
          <w:rFonts w:cs="Arial"/>
          <w:szCs w:val="24"/>
        </w:rPr>
        <w:t xml:space="preserve">eligible </w:t>
      </w:r>
      <w:r>
        <w:rPr>
          <w:rFonts w:cs="Arial"/>
          <w:szCs w:val="24"/>
        </w:rPr>
        <w:t>works under the provisions of Direction 6 in the amount of 100%</w:t>
      </w:r>
      <w:r w:rsidR="004F38FB">
        <w:rPr>
          <w:rFonts w:cs="Arial"/>
          <w:szCs w:val="24"/>
        </w:rPr>
        <w:t>. It is hoped that the grant applications will be ‘turned around’ quickly once the PID has been received.</w:t>
      </w:r>
    </w:p>
    <w:p w:rsidR="004F38FB" w:rsidRDefault="004F38FB" w:rsidP="004C7586">
      <w:pPr>
        <w:rPr>
          <w:rFonts w:cs="Arial"/>
          <w:szCs w:val="24"/>
        </w:rPr>
      </w:pPr>
    </w:p>
    <w:p w:rsidR="00D17406" w:rsidRDefault="004F38FB" w:rsidP="004C7586">
      <w:pPr>
        <w:rPr>
          <w:rFonts w:cs="Arial"/>
          <w:szCs w:val="24"/>
        </w:rPr>
      </w:pPr>
      <w:r>
        <w:rPr>
          <w:rFonts w:cs="Arial"/>
          <w:szCs w:val="24"/>
        </w:rPr>
        <w:t xml:space="preserve">This decision should not affect any other PID that is already in the ‘pipeline. </w:t>
      </w:r>
    </w:p>
    <w:p w:rsidR="00D17406" w:rsidRDefault="00D17406" w:rsidP="004C7586">
      <w:pPr>
        <w:rPr>
          <w:rFonts w:cs="Arial"/>
          <w:szCs w:val="24"/>
        </w:rPr>
      </w:pPr>
    </w:p>
    <w:p w:rsidR="004F38FB" w:rsidRDefault="004F38FB" w:rsidP="004C7586">
      <w:pPr>
        <w:rPr>
          <w:rFonts w:cs="Arial"/>
          <w:szCs w:val="24"/>
        </w:rPr>
      </w:pPr>
      <w:r>
        <w:rPr>
          <w:rFonts w:cs="Arial"/>
          <w:szCs w:val="24"/>
        </w:rPr>
        <w:t xml:space="preserve">For the purpose of this exercise the eligible </w:t>
      </w:r>
      <w:r w:rsidR="00585422">
        <w:rPr>
          <w:rFonts w:cs="Arial"/>
          <w:szCs w:val="24"/>
        </w:rPr>
        <w:t xml:space="preserve">NHS </w:t>
      </w:r>
      <w:r>
        <w:rPr>
          <w:rFonts w:cs="Arial"/>
          <w:szCs w:val="24"/>
        </w:rPr>
        <w:t>primary care premises works will include:</w:t>
      </w:r>
    </w:p>
    <w:p w:rsidR="004F38FB" w:rsidRDefault="004F38FB" w:rsidP="004C7586">
      <w:pPr>
        <w:rPr>
          <w:rFonts w:cs="Arial"/>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0"/>
        <w:gridCol w:w="1134"/>
      </w:tblGrid>
      <w:tr w:rsidR="004F38FB" w:rsidRPr="00CD286A" w:rsidTr="004F38FB">
        <w:tc>
          <w:tcPr>
            <w:tcW w:w="12900" w:type="dxa"/>
          </w:tcPr>
          <w:p w:rsidR="004F38FB" w:rsidRPr="00E255AA" w:rsidRDefault="004F38FB" w:rsidP="004F38FB">
            <w:pPr>
              <w:rPr>
                <w:rFonts w:cs="Arial"/>
                <w:szCs w:val="24"/>
              </w:rPr>
            </w:pPr>
            <w:r>
              <w:rPr>
                <w:rFonts w:cs="Arial"/>
                <w:szCs w:val="24"/>
              </w:rPr>
              <w:t>Description of Works</w:t>
            </w:r>
          </w:p>
        </w:tc>
        <w:tc>
          <w:tcPr>
            <w:tcW w:w="1134" w:type="dxa"/>
          </w:tcPr>
          <w:p w:rsidR="004F38FB" w:rsidRPr="00E255AA" w:rsidRDefault="004F38FB" w:rsidP="00262D57">
            <w:pPr>
              <w:jc w:val="center"/>
              <w:rPr>
                <w:rFonts w:cs="Arial"/>
                <w:szCs w:val="24"/>
              </w:rPr>
            </w:pPr>
            <w:r>
              <w:rPr>
                <w:rFonts w:cs="Arial"/>
                <w:szCs w:val="24"/>
              </w:rPr>
              <w:t>Eligible</w:t>
            </w:r>
          </w:p>
        </w:tc>
      </w:tr>
      <w:tr w:rsidR="004F38FB" w:rsidRPr="00CD286A" w:rsidTr="004F38FB">
        <w:tc>
          <w:tcPr>
            <w:tcW w:w="12900" w:type="dxa"/>
          </w:tcPr>
          <w:p w:rsidR="004F38FB" w:rsidRPr="00E255AA" w:rsidRDefault="004F38FB" w:rsidP="00585422">
            <w:pPr>
              <w:rPr>
                <w:rFonts w:cs="Arial"/>
                <w:szCs w:val="24"/>
              </w:rPr>
            </w:pPr>
            <w:r w:rsidRPr="00E255AA">
              <w:rPr>
                <w:rFonts w:cs="Arial"/>
                <w:szCs w:val="24"/>
              </w:rPr>
              <w:t xml:space="preserve">Reconfiguration of existing </w:t>
            </w:r>
            <w:r w:rsidR="00585422">
              <w:rPr>
                <w:rFonts w:cs="Arial"/>
                <w:szCs w:val="24"/>
              </w:rPr>
              <w:t>practice</w:t>
            </w:r>
            <w:r w:rsidRPr="00E255AA">
              <w:rPr>
                <w:rFonts w:cs="Arial"/>
                <w:szCs w:val="24"/>
              </w:rPr>
              <w:t xml:space="preserve"> </w:t>
            </w:r>
            <w:r>
              <w:rPr>
                <w:rFonts w:cs="Arial"/>
                <w:szCs w:val="24"/>
              </w:rPr>
              <w:t>accommodation</w:t>
            </w:r>
            <w:r w:rsidRPr="00E255AA">
              <w:rPr>
                <w:rFonts w:cs="Arial"/>
                <w:szCs w:val="24"/>
              </w:rPr>
              <w:t xml:space="preserve"> to </w:t>
            </w:r>
            <w:r>
              <w:rPr>
                <w:rFonts w:cs="Arial"/>
                <w:szCs w:val="24"/>
              </w:rPr>
              <w:t>ensure social distancing and mitigate risk</w:t>
            </w:r>
            <w:r w:rsidR="00585422">
              <w:rPr>
                <w:rFonts w:cs="Arial"/>
                <w:szCs w:val="24"/>
              </w:rPr>
              <w:t xml:space="preserve"> of transmitting COVID-19</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4F38FB" w:rsidP="00262D57">
            <w:pPr>
              <w:rPr>
                <w:rFonts w:cs="Arial"/>
                <w:szCs w:val="24"/>
              </w:rPr>
            </w:pPr>
            <w:r w:rsidRPr="00E255AA">
              <w:rPr>
                <w:rFonts w:cs="Arial"/>
                <w:szCs w:val="24"/>
              </w:rPr>
              <w:t>Creation of wheelchair and mobility scooter parking</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4F38FB" w:rsidP="00262D57">
            <w:pPr>
              <w:rPr>
                <w:rFonts w:cs="Arial"/>
                <w:szCs w:val="24"/>
              </w:rPr>
            </w:pPr>
            <w:r w:rsidRPr="00E255AA">
              <w:rPr>
                <w:rFonts w:cs="Arial"/>
                <w:szCs w:val="24"/>
              </w:rPr>
              <w:t>Installation of wheelchair ramp</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585422" w:rsidP="00262D57">
            <w:pPr>
              <w:rPr>
                <w:rFonts w:cs="Arial"/>
                <w:szCs w:val="24"/>
              </w:rPr>
            </w:pPr>
            <w:r>
              <w:rPr>
                <w:rFonts w:cs="Arial"/>
                <w:szCs w:val="24"/>
              </w:rPr>
              <w:t>Installation of Equality A</w:t>
            </w:r>
            <w:r w:rsidR="004F38FB" w:rsidRPr="00E255AA">
              <w:rPr>
                <w:rFonts w:cs="Arial"/>
                <w:szCs w:val="24"/>
              </w:rPr>
              <w:t>ct compliant handrail/s</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4F38FB" w:rsidP="00262D57">
            <w:pPr>
              <w:rPr>
                <w:rFonts w:cs="Arial"/>
                <w:szCs w:val="24"/>
              </w:rPr>
            </w:pPr>
            <w:r w:rsidRPr="00E255AA">
              <w:rPr>
                <w:rFonts w:cs="Arial"/>
                <w:szCs w:val="24"/>
              </w:rPr>
              <w:t>Installation of automatic entrance doors</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4F38FB" w:rsidP="00585422">
            <w:pPr>
              <w:rPr>
                <w:rFonts w:cs="Arial"/>
                <w:szCs w:val="24"/>
              </w:rPr>
            </w:pPr>
            <w:r w:rsidRPr="00E255AA">
              <w:rPr>
                <w:rFonts w:cs="Arial"/>
                <w:szCs w:val="24"/>
              </w:rPr>
              <w:t xml:space="preserve">Installation of </w:t>
            </w:r>
            <w:r w:rsidR="00585422">
              <w:rPr>
                <w:rFonts w:cs="Arial"/>
                <w:szCs w:val="24"/>
              </w:rPr>
              <w:t>Equality A</w:t>
            </w:r>
            <w:r w:rsidRPr="00E255AA">
              <w:rPr>
                <w:rFonts w:cs="Arial"/>
                <w:szCs w:val="24"/>
              </w:rPr>
              <w:t>ct compliant reception desk</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585422" w:rsidP="00585422">
            <w:pPr>
              <w:rPr>
                <w:rFonts w:cs="Arial"/>
                <w:szCs w:val="24"/>
              </w:rPr>
            </w:pPr>
            <w:r>
              <w:rPr>
                <w:rFonts w:cs="Arial"/>
                <w:szCs w:val="24"/>
              </w:rPr>
              <w:t xml:space="preserve">Widening existing corridors or creating additional corridors </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585422" w:rsidP="00262D57">
            <w:pPr>
              <w:rPr>
                <w:rFonts w:cs="Arial"/>
                <w:szCs w:val="24"/>
              </w:rPr>
            </w:pPr>
            <w:r>
              <w:rPr>
                <w:rFonts w:cs="Arial"/>
                <w:szCs w:val="24"/>
              </w:rPr>
              <w:t>Installation of wayfinding and operational signage</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585422" w:rsidP="00585422">
            <w:pPr>
              <w:rPr>
                <w:rFonts w:cs="Arial"/>
                <w:szCs w:val="24"/>
              </w:rPr>
            </w:pPr>
            <w:r>
              <w:rPr>
                <w:rFonts w:cs="Arial"/>
                <w:szCs w:val="24"/>
              </w:rPr>
              <w:t>Installation of hold open doors (Magnetic openers or installation of door fastenings)</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585422" w:rsidP="00262D57">
            <w:pPr>
              <w:rPr>
                <w:rFonts w:cs="Arial"/>
                <w:szCs w:val="24"/>
              </w:rPr>
            </w:pPr>
            <w:r>
              <w:rPr>
                <w:rFonts w:cs="Arial"/>
                <w:szCs w:val="24"/>
              </w:rPr>
              <w:t>Replacement door ironmongery incorporating kickplates and handle plates for easier cleaning purposes</w:t>
            </w:r>
          </w:p>
        </w:tc>
        <w:tc>
          <w:tcPr>
            <w:tcW w:w="1134" w:type="dxa"/>
          </w:tcPr>
          <w:p w:rsidR="004F38FB" w:rsidRPr="00E255AA" w:rsidRDefault="004F38FB" w:rsidP="00262D57">
            <w:pPr>
              <w:jc w:val="center"/>
              <w:rPr>
                <w:rFonts w:cs="Arial"/>
                <w:szCs w:val="24"/>
              </w:rPr>
            </w:pPr>
          </w:p>
        </w:tc>
      </w:tr>
      <w:tr w:rsidR="004F38FB" w:rsidRPr="00CD286A" w:rsidTr="004F38FB">
        <w:tc>
          <w:tcPr>
            <w:tcW w:w="12900" w:type="dxa"/>
          </w:tcPr>
          <w:p w:rsidR="004F38FB" w:rsidRPr="00E255AA" w:rsidRDefault="00585422" w:rsidP="00262D57">
            <w:pPr>
              <w:rPr>
                <w:rFonts w:cs="Arial"/>
                <w:szCs w:val="24"/>
              </w:rPr>
            </w:pPr>
            <w:r>
              <w:rPr>
                <w:rFonts w:cs="Arial"/>
                <w:szCs w:val="24"/>
              </w:rPr>
              <w:t>Installation of apron, soap, alcohol, gloves and face mask/coverings dispensers</w:t>
            </w:r>
          </w:p>
        </w:tc>
        <w:tc>
          <w:tcPr>
            <w:tcW w:w="1134" w:type="dxa"/>
          </w:tcPr>
          <w:p w:rsidR="004F38FB" w:rsidRPr="00E255AA" w:rsidRDefault="004F38FB" w:rsidP="00262D57">
            <w:pPr>
              <w:jc w:val="center"/>
              <w:rPr>
                <w:rFonts w:cs="Arial"/>
                <w:szCs w:val="24"/>
              </w:rPr>
            </w:pPr>
          </w:p>
        </w:tc>
      </w:tr>
      <w:tr w:rsidR="004F38FB" w:rsidRPr="00CD286A" w:rsidTr="004F38FB">
        <w:tc>
          <w:tcPr>
            <w:tcW w:w="12900" w:type="dxa"/>
          </w:tcPr>
          <w:p w:rsidR="00585422" w:rsidRPr="00E255AA" w:rsidRDefault="00585422" w:rsidP="00262D57">
            <w:pPr>
              <w:rPr>
                <w:rFonts w:cs="Arial"/>
                <w:szCs w:val="24"/>
              </w:rPr>
            </w:pPr>
            <w:r>
              <w:rPr>
                <w:rFonts w:cs="Arial"/>
                <w:szCs w:val="24"/>
              </w:rPr>
              <w:t>Installation of sensor taps to staff and public areas</w:t>
            </w:r>
          </w:p>
        </w:tc>
        <w:tc>
          <w:tcPr>
            <w:tcW w:w="1134" w:type="dxa"/>
          </w:tcPr>
          <w:p w:rsidR="004F38FB" w:rsidRPr="00E255AA" w:rsidRDefault="004F38FB" w:rsidP="00262D57">
            <w:pPr>
              <w:jc w:val="center"/>
              <w:rPr>
                <w:rFonts w:cs="Arial"/>
                <w:szCs w:val="24"/>
              </w:rPr>
            </w:pPr>
          </w:p>
        </w:tc>
      </w:tr>
      <w:tr w:rsidR="004F38FB" w:rsidRPr="00CD286A" w:rsidTr="004F38FB">
        <w:tc>
          <w:tcPr>
            <w:tcW w:w="12900" w:type="dxa"/>
          </w:tcPr>
          <w:p w:rsidR="004F38FB" w:rsidRPr="00E255AA" w:rsidRDefault="00585422" w:rsidP="00262D57">
            <w:pPr>
              <w:rPr>
                <w:rFonts w:cs="Arial"/>
                <w:szCs w:val="24"/>
              </w:rPr>
            </w:pPr>
            <w:r>
              <w:rPr>
                <w:rFonts w:cs="Arial"/>
                <w:szCs w:val="24"/>
              </w:rPr>
              <w:t>Installation of visual and audio entry systems</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585422" w:rsidP="00262D57">
            <w:pPr>
              <w:rPr>
                <w:rFonts w:cs="Arial"/>
                <w:szCs w:val="24"/>
              </w:rPr>
            </w:pPr>
            <w:r>
              <w:rPr>
                <w:rFonts w:cs="Arial"/>
                <w:szCs w:val="24"/>
              </w:rPr>
              <w:t>Installation of wipeable screens to reception</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585422" w:rsidP="00585422">
            <w:pPr>
              <w:rPr>
                <w:rFonts w:cs="Arial"/>
                <w:szCs w:val="24"/>
              </w:rPr>
            </w:pPr>
            <w:r>
              <w:rPr>
                <w:rFonts w:cs="Arial"/>
                <w:szCs w:val="24"/>
              </w:rPr>
              <w:t xml:space="preserve">Installation of vinyl flooring to waiting area and corridors, </w:t>
            </w:r>
            <w:r w:rsidR="00D17406">
              <w:rPr>
                <w:rFonts w:cs="Arial"/>
                <w:szCs w:val="24"/>
              </w:rPr>
              <w:t xml:space="preserve">clinical rooms and other front of house accommodation, </w:t>
            </w:r>
            <w:r>
              <w:rPr>
                <w:rFonts w:cs="Arial"/>
                <w:szCs w:val="24"/>
              </w:rPr>
              <w:t>coved to the wall to a minimum of 75mm from floor level and capped</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585422" w:rsidP="00262D57">
            <w:pPr>
              <w:rPr>
                <w:rFonts w:cs="Arial"/>
                <w:szCs w:val="24"/>
              </w:rPr>
            </w:pPr>
            <w:r>
              <w:rPr>
                <w:rFonts w:cs="Arial"/>
                <w:szCs w:val="24"/>
              </w:rPr>
              <w:t>Replacement seating to waiting area and clinical rooms to incorporate a mix of seat heights with all materials wipeable</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4F38FB" w:rsidP="00262D57">
            <w:pPr>
              <w:rPr>
                <w:rFonts w:cs="Arial"/>
                <w:szCs w:val="24"/>
              </w:rPr>
            </w:pPr>
            <w:r w:rsidRPr="00E255AA">
              <w:rPr>
                <w:rFonts w:cs="Arial"/>
                <w:szCs w:val="24"/>
              </w:rPr>
              <w:t>Installation of electronic patient call display</w:t>
            </w:r>
            <w:r w:rsidR="00D17406">
              <w:rPr>
                <w:rFonts w:cs="Arial"/>
                <w:szCs w:val="24"/>
              </w:rPr>
              <w:t xml:space="preserve"> incorporating audio and visual patient call</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r w:rsidR="004F38FB" w:rsidRPr="00CD286A" w:rsidTr="004F38FB">
        <w:tc>
          <w:tcPr>
            <w:tcW w:w="12900" w:type="dxa"/>
          </w:tcPr>
          <w:p w:rsidR="004F38FB" w:rsidRPr="00E255AA" w:rsidRDefault="004F38FB" w:rsidP="00D17406">
            <w:pPr>
              <w:rPr>
                <w:rFonts w:cs="Arial"/>
                <w:szCs w:val="24"/>
              </w:rPr>
            </w:pPr>
            <w:r w:rsidRPr="00E255AA">
              <w:rPr>
                <w:rFonts w:cs="Arial"/>
                <w:szCs w:val="24"/>
              </w:rPr>
              <w:t xml:space="preserve">Repairs/ decoration/ maintenance to the </w:t>
            </w:r>
            <w:r w:rsidR="00D17406">
              <w:rPr>
                <w:rFonts w:cs="Arial"/>
                <w:szCs w:val="24"/>
              </w:rPr>
              <w:t>interior where accommodation affected as a result of the completion of eligible works only</w:t>
            </w:r>
          </w:p>
        </w:tc>
        <w:tc>
          <w:tcPr>
            <w:tcW w:w="1134" w:type="dxa"/>
          </w:tcPr>
          <w:p w:rsidR="004F38FB" w:rsidRPr="00E255AA" w:rsidRDefault="004F38FB" w:rsidP="00262D57">
            <w:pPr>
              <w:jc w:val="center"/>
              <w:rPr>
                <w:rFonts w:cs="Arial"/>
                <w:szCs w:val="24"/>
              </w:rPr>
            </w:pPr>
          </w:p>
        </w:tc>
      </w:tr>
      <w:tr w:rsidR="004F38FB" w:rsidRPr="00CD286A" w:rsidTr="004F38FB">
        <w:tc>
          <w:tcPr>
            <w:tcW w:w="12900" w:type="dxa"/>
          </w:tcPr>
          <w:p w:rsidR="004F38FB" w:rsidRPr="00E255AA" w:rsidRDefault="004F38FB" w:rsidP="00262D57">
            <w:pPr>
              <w:rPr>
                <w:rFonts w:cs="Arial"/>
                <w:szCs w:val="24"/>
              </w:rPr>
            </w:pPr>
            <w:r w:rsidRPr="00E255AA">
              <w:rPr>
                <w:rFonts w:cs="Arial"/>
                <w:szCs w:val="24"/>
              </w:rPr>
              <w:t>Works to improve pedestrian/ vehicular access to premise for patient safety</w:t>
            </w:r>
          </w:p>
        </w:tc>
        <w:tc>
          <w:tcPr>
            <w:tcW w:w="1134" w:type="dxa"/>
          </w:tcPr>
          <w:p w:rsidR="004F38FB" w:rsidRPr="00E255AA" w:rsidRDefault="004F38FB" w:rsidP="00262D57">
            <w:pPr>
              <w:jc w:val="center"/>
              <w:rPr>
                <w:rFonts w:cs="Arial"/>
                <w:szCs w:val="24"/>
              </w:rPr>
            </w:pPr>
            <w:r w:rsidRPr="00E255AA">
              <w:rPr>
                <w:rFonts w:cs="Arial"/>
                <w:szCs w:val="24"/>
              </w:rPr>
              <w:sym w:font="Wingdings" w:char="F0FC"/>
            </w:r>
          </w:p>
        </w:tc>
      </w:tr>
    </w:tbl>
    <w:p w:rsidR="006F19B6" w:rsidRDefault="006F19B6" w:rsidP="006F19B6">
      <w:pPr>
        <w:rPr>
          <w:rFonts w:cs="Arial"/>
          <w:b/>
          <w:szCs w:val="24"/>
        </w:rPr>
      </w:pPr>
    </w:p>
    <w:p w:rsidR="00D90066" w:rsidRDefault="00D90066" w:rsidP="006F19B6">
      <w:pPr>
        <w:rPr>
          <w:rFonts w:cs="Arial"/>
          <w:b/>
          <w:szCs w:val="24"/>
        </w:rPr>
      </w:pPr>
    </w:p>
    <w:p w:rsidR="005D4286" w:rsidRDefault="005D4286" w:rsidP="006F19B6">
      <w:pPr>
        <w:rPr>
          <w:rFonts w:cs="Arial"/>
          <w:b/>
          <w:szCs w:val="24"/>
        </w:rPr>
      </w:pPr>
      <w:r>
        <w:rPr>
          <w:rFonts w:cs="Arial"/>
          <w:b/>
          <w:szCs w:val="24"/>
        </w:rPr>
        <w:t>Please note that capital grant funding will not be available for works, even if the works are considered eligible and are reflected in the above schedule, if they do not achieve a minimum accumulative cost of £5,000 inclusive of VAT.</w:t>
      </w:r>
    </w:p>
    <w:p w:rsidR="005D4286" w:rsidRDefault="005D4286" w:rsidP="006F19B6">
      <w:pPr>
        <w:rPr>
          <w:rFonts w:cs="Arial"/>
          <w:b/>
          <w:szCs w:val="24"/>
        </w:rPr>
      </w:pPr>
    </w:p>
    <w:p w:rsidR="00725BBB" w:rsidRDefault="005D4286" w:rsidP="006F19B6">
      <w:pPr>
        <w:rPr>
          <w:rFonts w:cs="Arial"/>
          <w:b/>
          <w:szCs w:val="24"/>
        </w:rPr>
      </w:pPr>
      <w:r>
        <w:rPr>
          <w:rFonts w:cs="Arial"/>
          <w:b/>
          <w:szCs w:val="24"/>
        </w:rPr>
        <w:t>If this is the case it may be that you are able to approach the CCG to request that the works are funded by means of CCG COVID-19 revenue funds.</w:t>
      </w:r>
    </w:p>
    <w:p w:rsidR="005D4286" w:rsidRDefault="005D4286" w:rsidP="006F19B6">
      <w:pPr>
        <w:rPr>
          <w:rFonts w:cs="Arial"/>
          <w:b/>
          <w:szCs w:val="24"/>
        </w:rPr>
      </w:pPr>
    </w:p>
    <w:p w:rsidR="005D4286" w:rsidRDefault="005D4286" w:rsidP="006F19B6">
      <w:pPr>
        <w:rPr>
          <w:rFonts w:cs="Arial"/>
          <w:b/>
          <w:szCs w:val="24"/>
        </w:rPr>
      </w:pPr>
      <w:r>
        <w:rPr>
          <w:rFonts w:cs="Arial"/>
          <w:b/>
          <w:szCs w:val="24"/>
        </w:rPr>
        <w:t xml:space="preserve">If you have any queries please do not hesitate to contact Julie Powell </w:t>
      </w:r>
      <w:hyperlink r:id="rId6" w:history="1">
        <w:r w:rsidRPr="00DD4FBB">
          <w:rPr>
            <w:rStyle w:val="Hyperlink"/>
            <w:rFonts w:cs="Arial"/>
            <w:b/>
            <w:szCs w:val="24"/>
          </w:rPr>
          <w:t>julie.powell7@nhs.net</w:t>
        </w:r>
      </w:hyperlink>
      <w:r>
        <w:rPr>
          <w:rFonts w:cs="Arial"/>
          <w:b/>
          <w:szCs w:val="24"/>
        </w:rPr>
        <w:t xml:space="preserve"> or </w:t>
      </w:r>
      <w:hyperlink r:id="rId7" w:history="1">
        <w:r w:rsidRPr="00DD4FBB">
          <w:rPr>
            <w:rStyle w:val="Hyperlink"/>
            <w:rFonts w:cs="Arial"/>
            <w:b/>
            <w:szCs w:val="24"/>
          </w:rPr>
          <w:t>lyn.brankin@nhs.net</w:t>
        </w:r>
      </w:hyperlink>
    </w:p>
    <w:p w:rsidR="005D4286" w:rsidRDefault="005D4286" w:rsidP="006F19B6">
      <w:pPr>
        <w:rPr>
          <w:rFonts w:cs="Arial"/>
          <w:b/>
          <w:szCs w:val="24"/>
        </w:rPr>
      </w:pPr>
    </w:p>
    <w:p w:rsidR="005D4286" w:rsidRPr="005D4286" w:rsidRDefault="005D4286" w:rsidP="005D4286">
      <w:pPr>
        <w:pStyle w:val="ListParagraph"/>
        <w:numPr>
          <w:ilvl w:val="0"/>
          <w:numId w:val="3"/>
        </w:numPr>
        <w:rPr>
          <w:rFonts w:cs="Arial"/>
          <w:b/>
          <w:szCs w:val="24"/>
        </w:rPr>
      </w:pPr>
    </w:p>
    <w:sectPr w:rsidR="005D4286" w:rsidRPr="005D4286" w:rsidSect="006F19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E38"/>
    <w:multiLevelType w:val="hybridMultilevel"/>
    <w:tmpl w:val="B6FC5E5C"/>
    <w:lvl w:ilvl="0" w:tplc="EC12FD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22CC2"/>
    <w:multiLevelType w:val="hybridMultilevel"/>
    <w:tmpl w:val="42AE9454"/>
    <w:lvl w:ilvl="0" w:tplc="6DFAA00A">
      <w:start w:val="1"/>
      <w:numFmt w:val="decimal"/>
      <w:lvlText w:val="%1."/>
      <w:lvlJc w:val="left"/>
      <w:pPr>
        <w:ind w:left="720" w:hanging="720"/>
      </w:pPr>
      <w:rPr>
        <w:rFonts w:ascii="Arial" w:eastAsia="Times New Roman"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623180"/>
    <w:multiLevelType w:val="hybridMultilevel"/>
    <w:tmpl w:val="AE6E1FB2"/>
    <w:lvl w:ilvl="0" w:tplc="722EE5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B6"/>
    <w:rsid w:val="00032D1C"/>
    <w:rsid w:val="00087376"/>
    <w:rsid w:val="000C5D83"/>
    <w:rsid w:val="000C6060"/>
    <w:rsid w:val="000D62F0"/>
    <w:rsid w:val="000F6EEA"/>
    <w:rsid w:val="00104D31"/>
    <w:rsid w:val="001375CF"/>
    <w:rsid w:val="00182FDF"/>
    <w:rsid w:val="0019420D"/>
    <w:rsid w:val="002015D1"/>
    <w:rsid w:val="00222758"/>
    <w:rsid w:val="002A63C3"/>
    <w:rsid w:val="002B2DDF"/>
    <w:rsid w:val="002C4533"/>
    <w:rsid w:val="00343CD1"/>
    <w:rsid w:val="00364BBF"/>
    <w:rsid w:val="003D2876"/>
    <w:rsid w:val="004571F4"/>
    <w:rsid w:val="004617D1"/>
    <w:rsid w:val="004A5E80"/>
    <w:rsid w:val="004C31C9"/>
    <w:rsid w:val="004C4DAC"/>
    <w:rsid w:val="004C7586"/>
    <w:rsid w:val="004E5E09"/>
    <w:rsid w:val="004F38FB"/>
    <w:rsid w:val="0051470C"/>
    <w:rsid w:val="005245B8"/>
    <w:rsid w:val="00580E2B"/>
    <w:rsid w:val="00585422"/>
    <w:rsid w:val="005D4286"/>
    <w:rsid w:val="00604A67"/>
    <w:rsid w:val="006D4DD9"/>
    <w:rsid w:val="006F19B6"/>
    <w:rsid w:val="006F5021"/>
    <w:rsid w:val="00716189"/>
    <w:rsid w:val="00725BBB"/>
    <w:rsid w:val="00792C9E"/>
    <w:rsid w:val="007B4CA1"/>
    <w:rsid w:val="007C5814"/>
    <w:rsid w:val="007C74CB"/>
    <w:rsid w:val="0081239B"/>
    <w:rsid w:val="00875479"/>
    <w:rsid w:val="008D4CBF"/>
    <w:rsid w:val="00971123"/>
    <w:rsid w:val="00A20CEA"/>
    <w:rsid w:val="00A36DEA"/>
    <w:rsid w:val="00A62E8E"/>
    <w:rsid w:val="00A72B8E"/>
    <w:rsid w:val="00AA0261"/>
    <w:rsid w:val="00B256E5"/>
    <w:rsid w:val="00B36CFC"/>
    <w:rsid w:val="00B64741"/>
    <w:rsid w:val="00B746FF"/>
    <w:rsid w:val="00BE5013"/>
    <w:rsid w:val="00C367C6"/>
    <w:rsid w:val="00C47F36"/>
    <w:rsid w:val="00D17406"/>
    <w:rsid w:val="00D47020"/>
    <w:rsid w:val="00D90066"/>
    <w:rsid w:val="00D95A5A"/>
    <w:rsid w:val="00DD18D0"/>
    <w:rsid w:val="00E44139"/>
    <w:rsid w:val="00EA450C"/>
    <w:rsid w:val="00EF23E5"/>
    <w:rsid w:val="00F5382D"/>
    <w:rsid w:val="00F93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4BDC"/>
  <w15:docId w15:val="{EAB28D20-D92D-4F5A-BD86-9FA7090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9B6"/>
    <w:pPr>
      <w:spacing w:after="0" w:line="240" w:lineRule="auto"/>
    </w:pPr>
    <w:rPr>
      <w:rFonts w:ascii="Arial" w:eastAsia="Times New Roman" w:hAnsi="Arial"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5BBB"/>
    <w:pPr>
      <w:ind w:left="720"/>
      <w:contextualSpacing/>
    </w:pPr>
  </w:style>
  <w:style w:type="character" w:customStyle="1" w:styleId="ListParagraphChar">
    <w:name w:val="List Paragraph Char"/>
    <w:basedOn w:val="DefaultParagraphFont"/>
    <w:link w:val="ListParagraph"/>
    <w:uiPriority w:val="34"/>
    <w:locked/>
    <w:rsid w:val="00725BBB"/>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C47F36"/>
    <w:rPr>
      <w:rFonts w:ascii="Tahoma" w:hAnsi="Tahoma" w:cs="Tahoma"/>
      <w:sz w:val="16"/>
      <w:szCs w:val="16"/>
    </w:rPr>
  </w:style>
  <w:style w:type="character" w:customStyle="1" w:styleId="BalloonTextChar">
    <w:name w:val="Balloon Text Char"/>
    <w:basedOn w:val="DefaultParagraphFont"/>
    <w:link w:val="BalloonText"/>
    <w:uiPriority w:val="99"/>
    <w:semiHidden/>
    <w:rsid w:val="00C47F36"/>
    <w:rPr>
      <w:rFonts w:ascii="Tahoma" w:eastAsia="Times New Roman" w:hAnsi="Tahoma" w:cs="Tahoma"/>
      <w:bCs/>
      <w:sz w:val="16"/>
      <w:szCs w:val="16"/>
    </w:rPr>
  </w:style>
  <w:style w:type="character" w:styleId="CommentReference">
    <w:name w:val="annotation reference"/>
    <w:basedOn w:val="DefaultParagraphFont"/>
    <w:uiPriority w:val="99"/>
    <w:semiHidden/>
    <w:unhideWhenUsed/>
    <w:rsid w:val="00C47F36"/>
    <w:rPr>
      <w:sz w:val="16"/>
      <w:szCs w:val="16"/>
    </w:rPr>
  </w:style>
  <w:style w:type="paragraph" w:styleId="CommentText">
    <w:name w:val="annotation text"/>
    <w:basedOn w:val="Normal"/>
    <w:link w:val="CommentTextChar"/>
    <w:uiPriority w:val="99"/>
    <w:semiHidden/>
    <w:unhideWhenUsed/>
    <w:rsid w:val="00C47F36"/>
    <w:rPr>
      <w:sz w:val="20"/>
      <w:szCs w:val="20"/>
    </w:rPr>
  </w:style>
  <w:style w:type="character" w:customStyle="1" w:styleId="CommentTextChar">
    <w:name w:val="Comment Text Char"/>
    <w:basedOn w:val="DefaultParagraphFont"/>
    <w:link w:val="CommentText"/>
    <w:uiPriority w:val="99"/>
    <w:semiHidden/>
    <w:rsid w:val="00C47F36"/>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C47F36"/>
    <w:rPr>
      <w:b/>
    </w:rPr>
  </w:style>
  <w:style w:type="character" w:customStyle="1" w:styleId="CommentSubjectChar">
    <w:name w:val="Comment Subject Char"/>
    <w:basedOn w:val="CommentTextChar"/>
    <w:link w:val="CommentSubject"/>
    <w:uiPriority w:val="99"/>
    <w:semiHidden/>
    <w:rsid w:val="00C47F36"/>
    <w:rPr>
      <w:rFonts w:ascii="Arial" w:eastAsia="Times New Roman" w:hAnsi="Arial" w:cs="Times New Roman"/>
      <w:b/>
      <w:bCs/>
      <w:sz w:val="20"/>
      <w:szCs w:val="20"/>
    </w:rPr>
  </w:style>
  <w:style w:type="character" w:styleId="Hyperlink">
    <w:name w:val="Hyperlink"/>
    <w:basedOn w:val="DefaultParagraphFont"/>
    <w:uiPriority w:val="99"/>
    <w:unhideWhenUsed/>
    <w:rsid w:val="005D4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n.brankin@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e.powell7@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6D55-49AD-416B-98F7-EDCBBA0A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Eric Wright Group Limited</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Ashton</dc:creator>
  <cp:lastModifiedBy>Claire Wildgoose</cp:lastModifiedBy>
  <cp:revision>1</cp:revision>
  <dcterms:created xsi:type="dcterms:W3CDTF">2020-07-16T13:26:00Z</dcterms:created>
  <dcterms:modified xsi:type="dcterms:W3CDTF">2020-07-16T13:26:00Z</dcterms:modified>
</cp:coreProperties>
</file>